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E52" w14:textId="2709F15F" w:rsidR="00040A8F" w:rsidRPr="001E5DA1" w:rsidRDefault="00040A8F" w:rsidP="00040A8F">
      <w:pPr>
        <w:jc w:val="center"/>
        <w:rPr>
          <w:rFonts w:cstheme="minorHAnsi"/>
          <w:color w:val="000000" w:themeColor="text1"/>
          <w:u w:val="single"/>
        </w:rPr>
      </w:pPr>
      <w:r w:rsidRPr="00365FDD">
        <w:rPr>
          <w:rFonts w:cstheme="minorHAnsi"/>
          <w:u w:val="single"/>
        </w:rPr>
        <w:t>S</w:t>
      </w:r>
      <w:r w:rsidRPr="001E5DA1">
        <w:rPr>
          <w:rFonts w:cstheme="minorHAnsi"/>
          <w:color w:val="000000" w:themeColor="text1"/>
          <w:u w:val="single"/>
        </w:rPr>
        <w:t xml:space="preserve">ocieties Executive Committee Meeting </w:t>
      </w:r>
      <w:r w:rsidR="00252C87">
        <w:rPr>
          <w:rFonts w:cstheme="minorHAnsi"/>
          <w:color w:val="000000" w:themeColor="text1"/>
          <w:u w:val="single"/>
        </w:rPr>
        <w:t>9</w:t>
      </w:r>
      <w:r w:rsidRPr="001E5DA1">
        <w:rPr>
          <w:rFonts w:cstheme="minorHAnsi"/>
          <w:color w:val="000000" w:themeColor="text1"/>
          <w:u w:val="single"/>
        </w:rPr>
        <w:t xml:space="preserve"> </w:t>
      </w:r>
      <w:r w:rsidR="00F7637D">
        <w:rPr>
          <w:rFonts w:cstheme="minorHAnsi"/>
          <w:color w:val="000000" w:themeColor="text1"/>
          <w:u w:val="single"/>
        </w:rPr>
        <w:t>Minutes</w:t>
      </w:r>
    </w:p>
    <w:p w14:paraId="428FCB22" w14:textId="7C6F16A6" w:rsidR="00040A8F" w:rsidRPr="001E5DA1" w:rsidRDefault="00252C87" w:rsidP="00365FDD">
      <w:pPr>
        <w:jc w:val="center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20</w:t>
      </w:r>
      <w:r w:rsidR="001E5DA1" w:rsidRPr="001E5DA1">
        <w:rPr>
          <w:rFonts w:cstheme="minorHAnsi"/>
          <w:color w:val="000000" w:themeColor="text1"/>
          <w:u w:val="single"/>
        </w:rPr>
        <w:t>/1</w:t>
      </w:r>
      <w:r w:rsidR="000537E3">
        <w:rPr>
          <w:rFonts w:cstheme="minorHAnsi"/>
          <w:color w:val="000000" w:themeColor="text1"/>
          <w:u w:val="single"/>
        </w:rPr>
        <w:t>2</w:t>
      </w:r>
      <w:r w:rsidR="001E5DA1" w:rsidRPr="001E5DA1">
        <w:rPr>
          <w:rFonts w:cstheme="minorHAnsi"/>
          <w:color w:val="000000" w:themeColor="text1"/>
          <w:u w:val="single"/>
        </w:rPr>
        <w:t>/23</w:t>
      </w:r>
    </w:p>
    <w:p w14:paraId="7B479699" w14:textId="45BBF91F" w:rsidR="00040A8F" w:rsidRPr="00CA5288" w:rsidRDefault="00040A8F" w:rsidP="00CA5288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Welcome and Apologies</w:t>
      </w:r>
    </w:p>
    <w:p w14:paraId="7BCA4C8A" w14:textId="77777777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>Justyna Kardasz (VP Community) – chair</w:t>
      </w:r>
    </w:p>
    <w:p w14:paraId="64FD4714" w14:textId="77777777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 xml:space="preserve">Jamie Campbell – present </w:t>
      </w:r>
    </w:p>
    <w:p w14:paraId="5F0F33AE" w14:textId="77777777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 xml:space="preserve">Jo Fitzpatrick – present </w:t>
      </w:r>
    </w:p>
    <w:p w14:paraId="7CEFD8E8" w14:textId="77777777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 xml:space="preserve">Cameron Pattinson – present </w:t>
      </w:r>
    </w:p>
    <w:p w14:paraId="31AF08B7" w14:textId="77777777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 xml:space="preserve">Karen Low – present </w:t>
      </w:r>
    </w:p>
    <w:p w14:paraId="7640515C" w14:textId="77777777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 xml:space="preserve">Ollie Page – present </w:t>
      </w:r>
    </w:p>
    <w:p w14:paraId="281AFD55" w14:textId="77777777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 xml:space="preserve">Shania Maritz – apologies </w:t>
      </w:r>
    </w:p>
    <w:p w14:paraId="28922A78" w14:textId="22A28FC6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>Natalie Brayshaw (Activities Coordinator) – present</w:t>
      </w:r>
    </w:p>
    <w:p w14:paraId="76C76B95" w14:textId="77777777" w:rsidR="00C37317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>Erin Ross (Activities Coordinator) – clerk</w:t>
      </w:r>
    </w:p>
    <w:p w14:paraId="072153D2" w14:textId="77777777" w:rsidR="00C37317" w:rsidRDefault="00C37317" w:rsidP="00C37317">
      <w:pPr>
        <w:ind w:left="927"/>
        <w:rPr>
          <w:rFonts w:cstheme="minorHAnsi"/>
        </w:rPr>
      </w:pPr>
    </w:p>
    <w:p w14:paraId="0AA5D421" w14:textId="44F261FE" w:rsidR="00145D7C" w:rsidRDefault="00C37317" w:rsidP="00C37317">
      <w:pPr>
        <w:ind w:left="927"/>
        <w:rPr>
          <w:rFonts w:cstheme="minorHAnsi"/>
        </w:rPr>
      </w:pPr>
      <w:r>
        <w:rPr>
          <w:rFonts w:cstheme="minorHAnsi"/>
        </w:rPr>
        <w:t xml:space="preserve">Welcome to our new Activities Coordinator Natalie – ran through introductions and each member’s society category </w:t>
      </w:r>
    </w:p>
    <w:p w14:paraId="3833B7E0" w14:textId="77777777" w:rsidR="00145D7C" w:rsidRPr="000537E3" w:rsidRDefault="00145D7C" w:rsidP="00145D7C">
      <w:pPr>
        <w:ind w:left="927"/>
        <w:rPr>
          <w:rFonts w:cstheme="minorHAnsi"/>
        </w:rPr>
      </w:pPr>
    </w:p>
    <w:p w14:paraId="78942C6C" w14:textId="369EDE27" w:rsidR="001E5DA1" w:rsidRDefault="00040A8F" w:rsidP="002C133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E5DA1">
        <w:rPr>
          <w:rFonts w:cstheme="minorHAnsi"/>
        </w:rPr>
        <w:t xml:space="preserve">Approve </w:t>
      </w:r>
      <w:r w:rsidRPr="001E5DA1">
        <w:rPr>
          <w:rFonts w:cstheme="minorHAnsi"/>
          <w:color w:val="000000" w:themeColor="text1"/>
        </w:rPr>
        <w:t xml:space="preserve">Minutes from Societies Exec </w:t>
      </w:r>
      <w:r w:rsidR="00252C87">
        <w:rPr>
          <w:rFonts w:cstheme="minorHAnsi"/>
          <w:color w:val="000000" w:themeColor="text1"/>
        </w:rPr>
        <w:t>8</w:t>
      </w:r>
    </w:p>
    <w:p w14:paraId="6B938041" w14:textId="7207B46F" w:rsidR="00145D7C" w:rsidRDefault="00C37317" w:rsidP="00C37317">
      <w:pPr>
        <w:ind w:left="92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Approved</w:t>
      </w:r>
    </w:p>
    <w:p w14:paraId="7F7386FA" w14:textId="77777777" w:rsidR="00C37317" w:rsidRPr="002C1336" w:rsidRDefault="00C37317" w:rsidP="002C1336">
      <w:pPr>
        <w:rPr>
          <w:rFonts w:cstheme="minorHAnsi"/>
          <w:color w:val="000000" w:themeColor="text1"/>
        </w:rPr>
      </w:pPr>
    </w:p>
    <w:p w14:paraId="655FCAE5" w14:textId="65172722" w:rsidR="003E24B0" w:rsidRDefault="00040A8F" w:rsidP="00252C87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Matters Arising</w:t>
      </w:r>
    </w:p>
    <w:p w14:paraId="109079E9" w14:textId="25BFD05D" w:rsidR="00D2065C" w:rsidRDefault="00D2065C" w:rsidP="00D2065C">
      <w:pPr>
        <w:pStyle w:val="ListParagraph"/>
        <w:numPr>
          <w:ilvl w:val="0"/>
          <w:numId w:val="24"/>
        </w:numPr>
        <w:rPr>
          <w:rFonts w:cstheme="minorHAnsi"/>
        </w:rPr>
      </w:pPr>
      <w:r w:rsidRPr="00D2065C">
        <w:rPr>
          <w:rFonts w:cstheme="minorHAnsi"/>
        </w:rPr>
        <w:t>Part-Time and Distance Students in Societies</w:t>
      </w:r>
    </w:p>
    <w:p w14:paraId="4AA94864" w14:textId="7F89ABB9" w:rsidR="00145D7C" w:rsidRDefault="00C97F16" w:rsidP="00145D7C">
      <w:pPr>
        <w:ind w:left="1287"/>
        <w:rPr>
          <w:rFonts w:cstheme="minorHAnsi"/>
        </w:rPr>
      </w:pPr>
      <w:r>
        <w:rPr>
          <w:rFonts w:cstheme="minorHAnsi"/>
        </w:rPr>
        <w:t>Socs staff will hold a drop-in sessions for new and returning students and socs on Fri 12</w:t>
      </w:r>
      <w:r w:rsidRPr="00C97F16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January, 12-2pm. </w:t>
      </w:r>
      <w:r w:rsidR="00C37317">
        <w:rPr>
          <w:rFonts w:cstheme="minorHAnsi"/>
        </w:rPr>
        <w:t>Socs Exec</w:t>
      </w:r>
      <w:r>
        <w:rPr>
          <w:rFonts w:cstheme="minorHAnsi"/>
        </w:rPr>
        <w:t xml:space="preserve"> are encouraged to attend in part if they are able – </w:t>
      </w:r>
      <w:r w:rsidRPr="00C97F16">
        <w:rPr>
          <w:rFonts w:cstheme="minorHAnsi"/>
          <w:color w:val="FF0000"/>
        </w:rPr>
        <w:t>staff to invite Socs Exec</w:t>
      </w:r>
    </w:p>
    <w:p w14:paraId="5978BAF4" w14:textId="6D5DF08F" w:rsidR="00145D7C" w:rsidRDefault="00C97F16" w:rsidP="00145D7C">
      <w:pPr>
        <w:ind w:left="1287"/>
        <w:rPr>
          <w:rFonts w:cstheme="minorHAnsi"/>
        </w:rPr>
      </w:pPr>
      <w:r>
        <w:rPr>
          <w:rFonts w:cstheme="minorHAnsi"/>
        </w:rPr>
        <w:t xml:space="preserve">As part of January welcome </w:t>
      </w:r>
      <w:proofErr w:type="spellStart"/>
      <w:r>
        <w:rPr>
          <w:rFonts w:cstheme="minorHAnsi"/>
        </w:rPr>
        <w:t>acitivites</w:t>
      </w:r>
      <w:proofErr w:type="spellEnd"/>
      <w:r>
        <w:rPr>
          <w:rFonts w:cstheme="minorHAnsi"/>
        </w:rPr>
        <w:t xml:space="preserve">, we are encouraging societies to introduce themselves online and to consider putting on digital/hybrid events - </w:t>
      </w:r>
      <w:r w:rsidR="00145D7C">
        <w:rPr>
          <w:rFonts w:cstheme="minorHAnsi"/>
        </w:rPr>
        <w:t>J</w:t>
      </w:r>
      <w:r>
        <w:rPr>
          <w:rFonts w:cstheme="minorHAnsi"/>
        </w:rPr>
        <w:t>F</w:t>
      </w:r>
      <w:r w:rsidR="00145D7C">
        <w:rPr>
          <w:rFonts w:cstheme="minorHAnsi"/>
        </w:rPr>
        <w:t xml:space="preserve"> made </w:t>
      </w:r>
      <w:r>
        <w:rPr>
          <w:rFonts w:cstheme="minorHAnsi"/>
        </w:rPr>
        <w:t xml:space="preserve">a promo </w:t>
      </w:r>
      <w:r w:rsidR="00145D7C">
        <w:rPr>
          <w:rFonts w:cstheme="minorHAnsi"/>
        </w:rPr>
        <w:t xml:space="preserve">video about </w:t>
      </w:r>
      <w:r>
        <w:rPr>
          <w:rFonts w:cstheme="minorHAnsi"/>
        </w:rPr>
        <w:t xml:space="preserve">this and </w:t>
      </w:r>
      <w:r w:rsidRPr="00C97F16">
        <w:rPr>
          <w:rFonts w:cstheme="minorHAnsi"/>
          <w:color w:val="FF0000"/>
        </w:rPr>
        <w:t>JK will make a social media post</w:t>
      </w:r>
    </w:p>
    <w:p w14:paraId="47E29084" w14:textId="5CCD5D1F" w:rsidR="00C97F16" w:rsidRPr="00C97F16" w:rsidRDefault="00C97F16" w:rsidP="00145D7C">
      <w:pPr>
        <w:ind w:left="1287"/>
        <w:rPr>
          <w:rFonts w:cstheme="minorHAnsi"/>
          <w:color w:val="FF0000"/>
        </w:rPr>
      </w:pPr>
      <w:r w:rsidRPr="00C97F16">
        <w:rPr>
          <w:rFonts w:cstheme="minorHAnsi"/>
          <w:color w:val="FF0000"/>
        </w:rPr>
        <w:t>Staff will send an email out to committee members about this before the break</w:t>
      </w:r>
    </w:p>
    <w:p w14:paraId="51185423" w14:textId="24A315B2" w:rsidR="00D2065C" w:rsidRDefault="00D2065C" w:rsidP="00D2065C">
      <w:pPr>
        <w:pStyle w:val="ListParagraph"/>
        <w:numPr>
          <w:ilvl w:val="0"/>
          <w:numId w:val="24"/>
        </w:numPr>
        <w:rPr>
          <w:rFonts w:cstheme="minorHAnsi"/>
        </w:rPr>
      </w:pPr>
      <w:r w:rsidRPr="00D2065C">
        <w:rPr>
          <w:rFonts w:cstheme="minorHAnsi"/>
        </w:rPr>
        <w:t>Charity Month</w:t>
      </w:r>
    </w:p>
    <w:p w14:paraId="1F841692" w14:textId="0C135FEC" w:rsidR="00145D7C" w:rsidRDefault="00C37317" w:rsidP="00145D7C">
      <w:pPr>
        <w:ind w:left="1287"/>
        <w:rPr>
          <w:rFonts w:cstheme="minorHAnsi"/>
        </w:rPr>
      </w:pPr>
      <w:r>
        <w:rPr>
          <w:rFonts w:cstheme="minorHAnsi"/>
        </w:rPr>
        <w:t>Landing-</w:t>
      </w:r>
      <w:r w:rsidR="00C97F16">
        <w:rPr>
          <w:rFonts w:cstheme="minorHAnsi"/>
        </w:rPr>
        <w:t>p</w:t>
      </w:r>
      <w:r>
        <w:rPr>
          <w:rFonts w:cstheme="minorHAnsi"/>
        </w:rPr>
        <w:t>age on website is ready to go – exec approves</w:t>
      </w:r>
    </w:p>
    <w:p w14:paraId="3217B6FD" w14:textId="44614069" w:rsidR="00835BDE" w:rsidRDefault="00835BDE" w:rsidP="00145D7C">
      <w:pPr>
        <w:ind w:left="1287"/>
        <w:rPr>
          <w:rFonts w:cstheme="minorHAnsi"/>
        </w:rPr>
      </w:pPr>
      <w:r>
        <w:rPr>
          <w:rFonts w:cstheme="minorHAnsi"/>
        </w:rPr>
        <w:t xml:space="preserve">Socs Exec filmed </w:t>
      </w:r>
      <w:r w:rsidR="00C97F16">
        <w:rPr>
          <w:rFonts w:cstheme="minorHAnsi"/>
        </w:rPr>
        <w:t xml:space="preserve">content </w:t>
      </w:r>
      <w:r>
        <w:rPr>
          <w:rFonts w:cstheme="minorHAnsi"/>
        </w:rPr>
        <w:t>with Comms – this will go out in January</w:t>
      </w:r>
    </w:p>
    <w:p w14:paraId="78DA291B" w14:textId="77777777" w:rsidR="00611895" w:rsidRPr="00611895" w:rsidRDefault="00611895" w:rsidP="00611895">
      <w:pPr>
        <w:ind w:left="1287"/>
        <w:rPr>
          <w:rFonts w:cstheme="minorHAnsi"/>
          <w:color w:val="FF0000"/>
        </w:rPr>
      </w:pPr>
      <w:r w:rsidRPr="00611895">
        <w:rPr>
          <w:rFonts w:cstheme="minorHAnsi"/>
          <w:color w:val="FF0000"/>
        </w:rPr>
        <w:t>Staff to confirm process for societies that Socs Exec members are part of</w:t>
      </w:r>
    </w:p>
    <w:p w14:paraId="3DB14912" w14:textId="38F3B7AD" w:rsidR="00DA4EDD" w:rsidRPr="00611895" w:rsidRDefault="00D2065C" w:rsidP="00611895">
      <w:pPr>
        <w:pStyle w:val="ListParagraph"/>
        <w:numPr>
          <w:ilvl w:val="0"/>
          <w:numId w:val="24"/>
        </w:numPr>
        <w:rPr>
          <w:rFonts w:cstheme="minorHAnsi"/>
        </w:rPr>
      </w:pPr>
      <w:r w:rsidRPr="00611895">
        <w:rPr>
          <w:rFonts w:cstheme="minorHAnsi"/>
        </w:rPr>
        <w:t>Grant Guidance</w:t>
      </w:r>
    </w:p>
    <w:p w14:paraId="6B54241B" w14:textId="2CF81598" w:rsidR="00C97F16" w:rsidRDefault="00C97F16" w:rsidP="00611895">
      <w:pPr>
        <w:rPr>
          <w:rFonts w:cstheme="minorHAnsi"/>
        </w:rPr>
      </w:pPr>
      <w:r>
        <w:rPr>
          <w:rFonts w:cstheme="minorHAnsi"/>
        </w:rPr>
        <w:lastRenderedPageBreak/>
        <w:t>Finance information has been improved this semester with a landing-page</w:t>
      </w:r>
      <w:r w:rsidR="00611895">
        <w:rPr>
          <w:rFonts w:cstheme="minorHAnsi"/>
        </w:rPr>
        <w:t xml:space="preserve"> (</w:t>
      </w:r>
      <w:hyperlink r:id="rId7" w:history="1">
        <w:r w:rsidR="00611895" w:rsidRPr="00406773">
          <w:rPr>
            <w:rStyle w:val="Hyperlink"/>
            <w:rFonts w:cstheme="minorHAnsi"/>
          </w:rPr>
          <w:t>https://www.strathunion.com/organisation/resources/finances/</w:t>
        </w:r>
      </w:hyperlink>
      <w:r w:rsidR="00611895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611895">
        <w:rPr>
          <w:rFonts w:cstheme="minorHAnsi"/>
        </w:rPr>
        <w:t>where the</w:t>
      </w:r>
      <w:r>
        <w:rPr>
          <w:rFonts w:cstheme="minorHAnsi"/>
        </w:rPr>
        <w:t xml:space="preserve"> finance training content </w:t>
      </w:r>
      <w:r w:rsidR="00611895">
        <w:rPr>
          <w:rFonts w:cstheme="minorHAnsi"/>
        </w:rPr>
        <w:t xml:space="preserve">is </w:t>
      </w:r>
      <w:r>
        <w:rPr>
          <w:rFonts w:cstheme="minorHAnsi"/>
        </w:rPr>
        <w:t>permanently available as a resource for students</w:t>
      </w:r>
    </w:p>
    <w:p w14:paraId="70FD8214" w14:textId="7EF83F36" w:rsidR="00C97F16" w:rsidRDefault="00C97F16" w:rsidP="00C97F16">
      <w:pPr>
        <w:rPr>
          <w:rFonts w:cstheme="minorHAnsi"/>
        </w:rPr>
      </w:pPr>
      <w:r>
        <w:rPr>
          <w:rFonts w:cstheme="minorHAnsi"/>
        </w:rPr>
        <w:t>Socs team are</w:t>
      </w:r>
      <w:r w:rsidR="00835BDE">
        <w:rPr>
          <w:rFonts w:cstheme="minorHAnsi"/>
        </w:rPr>
        <w:t xml:space="preserve"> </w:t>
      </w:r>
      <w:r>
        <w:rPr>
          <w:rFonts w:cstheme="minorHAnsi"/>
        </w:rPr>
        <w:t>now working on improving grant information with a</w:t>
      </w:r>
      <w:r w:rsidR="00611895">
        <w:rPr>
          <w:rFonts w:cstheme="minorHAnsi"/>
        </w:rPr>
        <w:t xml:space="preserve"> landing-page (</w:t>
      </w:r>
      <w:hyperlink r:id="rId8" w:history="1">
        <w:r w:rsidR="00611895" w:rsidRPr="00406773">
          <w:rPr>
            <w:rStyle w:val="Hyperlink"/>
            <w:rFonts w:cstheme="minorHAnsi"/>
          </w:rPr>
          <w:t>https://www.strathunion.com/organisation/resources/grants/</w:t>
        </w:r>
      </w:hyperlink>
      <w:r w:rsidR="00611895">
        <w:rPr>
          <w:rFonts w:cstheme="minorHAnsi"/>
        </w:rPr>
        <w:t>),</w:t>
      </w:r>
      <w:r>
        <w:rPr>
          <w:rFonts w:cstheme="minorHAnsi"/>
        </w:rPr>
        <w:t xml:space="preserve"> separate grant training module and improved grant guidelines</w:t>
      </w:r>
    </w:p>
    <w:p w14:paraId="41423B90" w14:textId="73F7A816" w:rsidR="00C97F16" w:rsidRDefault="00C97F16" w:rsidP="00C97F16">
      <w:pPr>
        <w:rPr>
          <w:rFonts w:cstheme="minorHAnsi"/>
        </w:rPr>
      </w:pPr>
      <w:r>
        <w:rPr>
          <w:rFonts w:cstheme="minorHAnsi"/>
        </w:rPr>
        <w:t xml:space="preserve">Thank you from the staff team to Socs Exec for collaborating so well with us this semester </w:t>
      </w:r>
      <w:r w:rsidR="00611895">
        <w:rPr>
          <w:rFonts w:cstheme="minorHAnsi"/>
        </w:rPr>
        <w:t>on these resources and projects to help societies!</w:t>
      </w:r>
    </w:p>
    <w:p w14:paraId="6E35817D" w14:textId="77777777" w:rsidR="00D2065C" w:rsidRPr="00D2065C" w:rsidRDefault="00D2065C" w:rsidP="00D2065C">
      <w:pPr>
        <w:pStyle w:val="ListParagraph"/>
        <w:ind w:left="1287"/>
        <w:rPr>
          <w:rFonts w:cstheme="minorHAnsi"/>
        </w:rPr>
      </w:pPr>
    </w:p>
    <w:p w14:paraId="3071E327" w14:textId="06CD3A80" w:rsidR="00040A8F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Budget Update</w:t>
      </w:r>
      <w:r w:rsidR="00485960">
        <w:rPr>
          <w:rFonts w:cstheme="minorHAnsi"/>
        </w:rPr>
        <w:t xml:space="preserve"> </w:t>
      </w:r>
    </w:p>
    <w:p w14:paraId="638C1379" w14:textId="77777777" w:rsidR="00B652A7" w:rsidRDefault="00B652A7" w:rsidP="00B652A7">
      <w:pPr>
        <w:pStyle w:val="ListParagraph"/>
        <w:ind w:left="927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87C87" w14:paraId="2883B750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E406" w14:textId="77777777" w:rsidR="00587C87" w:rsidRDefault="00587C87" w:rsidP="00237FE2">
            <w:pPr>
              <w:pStyle w:val="ListParagraph"/>
              <w:ind w:left="92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B3CB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Arts and Culture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1EBA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General Pot</w:t>
            </w:r>
          </w:p>
        </w:tc>
      </w:tr>
      <w:tr w:rsidR="00587C87" w14:paraId="64F91121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78F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Start of year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2E70" w14:textId="77777777" w:rsidR="00587C87" w:rsidRDefault="00587C87" w:rsidP="00237FE2">
            <w:r>
              <w:t>£15,000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5155" w14:textId="77777777" w:rsidR="00587C87" w:rsidRDefault="00587C87" w:rsidP="00237FE2">
            <w:r>
              <w:t>£40,000</w:t>
            </w:r>
          </w:p>
        </w:tc>
      </w:tr>
      <w:tr w:rsidR="00587C87" w14:paraId="7595F70A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045E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After Exec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5AC5" w14:textId="77777777" w:rsidR="00587C87" w:rsidRDefault="00587C87" w:rsidP="00237FE2">
            <w:r>
              <w:t>£14,410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27D" w14:textId="77777777" w:rsidR="00587C87" w:rsidRDefault="00587C87" w:rsidP="00237FE2">
            <w:r>
              <w:t>£38,785.26</w:t>
            </w:r>
          </w:p>
        </w:tc>
      </w:tr>
      <w:tr w:rsidR="00587C87" w14:paraId="08E3B41C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2E7A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After Exec 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AAE7" w14:textId="77777777" w:rsidR="00587C87" w:rsidRDefault="00587C87" w:rsidP="00237FE2">
            <w:r>
              <w:t>£12,964.82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3CAE" w14:textId="77777777" w:rsidR="00587C87" w:rsidRDefault="00587C87" w:rsidP="00237FE2">
            <w:r>
              <w:t>£38,135.26</w:t>
            </w:r>
          </w:p>
        </w:tc>
      </w:tr>
      <w:tr w:rsidR="00587C87" w14:paraId="2C5B16F5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41EF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After Exec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244C" w14:textId="77777777" w:rsidR="00587C87" w:rsidRDefault="00587C87" w:rsidP="00237FE2">
            <w:r>
              <w:t>£10,324.82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5379" w14:textId="77777777" w:rsidR="00587C87" w:rsidRDefault="00587C87" w:rsidP="00237FE2">
            <w:r>
              <w:t>£36,328.79</w:t>
            </w:r>
          </w:p>
        </w:tc>
      </w:tr>
      <w:tr w:rsidR="00587C87" w14:paraId="49F6DEF1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9237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After Exec 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2052" w14:textId="77777777" w:rsidR="00587C87" w:rsidRDefault="00587C87" w:rsidP="00237FE2">
            <w:r>
              <w:t>£9780.77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C98D" w14:textId="77777777" w:rsidR="00587C87" w:rsidRDefault="00587C87" w:rsidP="00237FE2">
            <w:r>
              <w:t>£35,233.79</w:t>
            </w:r>
          </w:p>
        </w:tc>
      </w:tr>
      <w:tr w:rsidR="00587C87" w14:paraId="7C4DF2A9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B0A6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After Exec 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95C4" w14:textId="77777777" w:rsidR="00587C87" w:rsidRDefault="00587C87" w:rsidP="00237FE2">
            <w:r>
              <w:t>£9580.77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424A" w14:textId="77777777" w:rsidR="00587C87" w:rsidRDefault="00587C87" w:rsidP="00237FE2">
            <w:r>
              <w:t>£34,797.26</w:t>
            </w:r>
          </w:p>
        </w:tc>
      </w:tr>
      <w:tr w:rsidR="00587C87" w14:paraId="3F9A8BD9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3F2B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After Exec 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4589" w14:textId="77777777" w:rsidR="00587C87" w:rsidRDefault="00587C87" w:rsidP="00237FE2">
            <w:r>
              <w:t>£6957.08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8EB5" w14:textId="77777777" w:rsidR="00587C87" w:rsidRDefault="00587C87" w:rsidP="00237FE2">
            <w:r>
              <w:t>£30,723.79</w:t>
            </w:r>
          </w:p>
        </w:tc>
      </w:tr>
      <w:tr w:rsidR="00587C87" w14:paraId="70DFA17D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D25C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After Exec 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4AF" w14:textId="77777777" w:rsidR="00587C87" w:rsidRDefault="00587C87" w:rsidP="00237FE2">
            <w:r>
              <w:t>£4930.68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1F6F" w14:textId="77777777" w:rsidR="00587C87" w:rsidRDefault="00587C87" w:rsidP="00237FE2">
            <w:r>
              <w:t>£28,528.88</w:t>
            </w:r>
          </w:p>
        </w:tc>
      </w:tr>
      <w:tr w:rsidR="00587C87" w14:paraId="52E8F3A6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324" w14:textId="77777777" w:rsidR="00587C87" w:rsidRDefault="00587C87" w:rsidP="00237FE2">
            <w:pPr>
              <w:rPr>
                <w:b/>
                <w:bCs/>
              </w:rPr>
            </w:pPr>
            <w:r>
              <w:rPr>
                <w:b/>
                <w:bCs/>
              </w:rPr>
              <w:t>After Exec 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DA4D" w14:textId="77777777" w:rsidR="00587C87" w:rsidRDefault="00587C87" w:rsidP="00237FE2">
            <w:r>
              <w:t>£4930.68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6DE" w14:textId="77777777" w:rsidR="00587C87" w:rsidRDefault="00587C87" w:rsidP="00237FE2">
            <w:r>
              <w:t>£27,836.10</w:t>
            </w:r>
          </w:p>
        </w:tc>
      </w:tr>
      <w:tr w:rsidR="006019F4" w14:paraId="23955A05" w14:textId="77777777" w:rsidTr="00237FE2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089" w14:textId="051760F9" w:rsidR="006019F4" w:rsidRPr="00611895" w:rsidRDefault="006019F4" w:rsidP="00237FE2">
            <w:pPr>
              <w:rPr>
                <w:b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5F4" w14:textId="6DB648E5" w:rsidR="006019F4" w:rsidRDefault="006019F4" w:rsidP="00237FE2"/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7D8" w14:textId="0BA901CA" w:rsidR="006019F4" w:rsidRDefault="006019F4" w:rsidP="00237FE2"/>
        </w:tc>
      </w:tr>
    </w:tbl>
    <w:p w14:paraId="63050B42" w14:textId="2D8FAB57" w:rsidR="00C614BA" w:rsidRDefault="00C614BA" w:rsidP="00B652A7">
      <w:pPr>
        <w:rPr>
          <w:rFonts w:cstheme="minorHAnsi"/>
        </w:rPr>
      </w:pPr>
    </w:p>
    <w:p w14:paraId="02435090" w14:textId="77777777" w:rsidR="00C614BA" w:rsidRDefault="00C614BA" w:rsidP="00B652A7">
      <w:pPr>
        <w:rPr>
          <w:rFonts w:cstheme="minorHAnsi"/>
        </w:rPr>
      </w:pPr>
    </w:p>
    <w:p w14:paraId="0B9199A5" w14:textId="2303842C" w:rsidR="006019F4" w:rsidRDefault="006019F4" w:rsidP="00B652A7">
      <w:pPr>
        <w:rPr>
          <w:rFonts w:cstheme="minorHAnsi"/>
        </w:rPr>
      </w:pPr>
      <w:r>
        <w:rPr>
          <w:rFonts w:cstheme="minorHAnsi"/>
        </w:rPr>
        <w:t>Funding Breakdowns – Semester 1:</w:t>
      </w:r>
    </w:p>
    <w:p w14:paraId="7FCF515A" w14:textId="7D11AD11" w:rsidR="006019F4" w:rsidRDefault="00FD0BA7" w:rsidP="00FD0BA7">
      <w:pPr>
        <w:jc w:val="both"/>
        <w:rPr>
          <w:rFonts w:cstheme="minorHAnsi"/>
        </w:rPr>
      </w:pPr>
      <w:r>
        <w:rPr>
          <w:rFonts w:cstheme="minorHAnsi"/>
        </w:rPr>
        <w:t>Note: N</w:t>
      </w:r>
      <w:r w:rsidR="006019F4">
        <w:rPr>
          <w:rFonts w:cstheme="minorHAnsi"/>
        </w:rPr>
        <w:t xml:space="preserve">umbers in the chart represent the % of the total amount in that pot. </w:t>
      </w:r>
      <w:r>
        <w:rPr>
          <w:rFonts w:cstheme="minorHAnsi"/>
        </w:rPr>
        <w:t xml:space="preserve">The first chart “% of total funding awarded” includes both the general pot and the arts and culture funding. Total = £55,000. </w:t>
      </w:r>
      <w:r w:rsidR="006019F4">
        <w:rPr>
          <w:rFonts w:cstheme="minorHAnsi"/>
        </w:rPr>
        <w:t>So if a society had received 5% of total funding, that would be 5% of £55,000 (= £2750).</w:t>
      </w:r>
      <w:r>
        <w:rPr>
          <w:rFonts w:cstheme="minorHAnsi"/>
        </w:rPr>
        <w:t xml:space="preserve"> There are also charts to show the spent in each pot respectively. </w:t>
      </w:r>
      <w:r w:rsidR="006019F4">
        <w:rPr>
          <w:rFonts w:cstheme="minorHAnsi"/>
        </w:rPr>
        <w:t>Societies with &lt;1% of the funding are not included in the charts. The charts do not add to 100 as the entire pot has not yet been spent.</w:t>
      </w:r>
    </w:p>
    <w:p w14:paraId="65C346A0" w14:textId="19C93888" w:rsidR="006019F4" w:rsidRDefault="006019F4" w:rsidP="006019F4">
      <w:pPr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313120E9" wp14:editId="21453A82">
            <wp:extent cx="5852160" cy="5610958"/>
            <wp:effectExtent l="0" t="0" r="0" b="8890"/>
            <wp:docPr id="1971946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787" cy="56163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F830E" w14:textId="655975E7" w:rsidR="006019F4" w:rsidRDefault="006019F4" w:rsidP="006019F4">
      <w:pPr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713351E7" wp14:editId="7770D5B5">
            <wp:extent cx="6013162" cy="6038215"/>
            <wp:effectExtent l="0" t="0" r="6985" b="635"/>
            <wp:docPr id="16829269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788" cy="6044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0074D" w14:textId="4CDD9846" w:rsidR="006019F4" w:rsidRDefault="006019F4" w:rsidP="006019F4">
      <w:pPr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670FE21B" wp14:editId="1ABF5CBF">
            <wp:extent cx="5921416" cy="8378190"/>
            <wp:effectExtent l="0" t="0" r="3175" b="3810"/>
            <wp:docPr id="20030853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50" cy="8390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1ABF4D" w14:textId="77777777" w:rsidR="00BD3E80" w:rsidRDefault="00BD3E80" w:rsidP="006019F4">
      <w:pPr>
        <w:jc w:val="center"/>
        <w:rPr>
          <w:rFonts w:cstheme="minorHAnsi"/>
        </w:rPr>
      </w:pPr>
    </w:p>
    <w:p w14:paraId="041C6121" w14:textId="77777777" w:rsidR="009C79D0" w:rsidRDefault="00C614BA" w:rsidP="009C79D0">
      <w:pPr>
        <w:rPr>
          <w:rFonts w:cstheme="minorHAnsi"/>
        </w:rPr>
      </w:pPr>
      <w:r>
        <w:rPr>
          <w:rFonts w:cstheme="minorHAnsi"/>
        </w:rPr>
        <w:t>Exec members note that this is not as diverse a spread of societies as it could be</w:t>
      </w:r>
    </w:p>
    <w:p w14:paraId="50CCA0C1" w14:textId="77777777" w:rsidR="009C79D0" w:rsidRDefault="009C79D0" w:rsidP="009C79D0">
      <w:pPr>
        <w:rPr>
          <w:rFonts w:cstheme="minorHAnsi"/>
        </w:rPr>
      </w:pPr>
      <w:r>
        <w:rPr>
          <w:rFonts w:cstheme="minorHAnsi"/>
        </w:rPr>
        <w:lastRenderedPageBreak/>
        <w:t>Compared with the figures at the end of 2022/23, the societies</w:t>
      </w:r>
      <w:r w:rsidR="00C614BA">
        <w:rPr>
          <w:rFonts w:cstheme="minorHAnsi"/>
        </w:rPr>
        <w:t xml:space="preserve"> </w:t>
      </w:r>
      <w:r>
        <w:rPr>
          <w:rFonts w:cstheme="minorHAnsi"/>
        </w:rPr>
        <w:t xml:space="preserve">that </w:t>
      </w:r>
      <w:r w:rsidR="00C614BA">
        <w:rPr>
          <w:rFonts w:cstheme="minorHAnsi"/>
        </w:rPr>
        <w:t>secured the lion’s share of funding</w:t>
      </w:r>
      <w:r w:rsidR="00417C0C">
        <w:rPr>
          <w:rFonts w:cstheme="minorHAnsi"/>
        </w:rPr>
        <w:t xml:space="preserve"> this time corresponds roughly to large active societies undertaking major</w:t>
      </w:r>
      <w:r>
        <w:rPr>
          <w:rFonts w:cstheme="minorHAnsi"/>
        </w:rPr>
        <w:t xml:space="preserve"> events and initiatives</w:t>
      </w:r>
    </w:p>
    <w:p w14:paraId="4475FC8A" w14:textId="77777777" w:rsidR="00D855D4" w:rsidRDefault="009C79D0" w:rsidP="009C79D0">
      <w:pPr>
        <w:rPr>
          <w:rFonts w:cstheme="minorHAnsi"/>
        </w:rPr>
      </w:pPr>
      <w:r>
        <w:rPr>
          <w:rFonts w:cstheme="minorHAnsi"/>
        </w:rPr>
        <w:t>The lion’s share also does not clearly correspond to societies that members themselves are involved in</w:t>
      </w:r>
    </w:p>
    <w:p w14:paraId="2626DD43" w14:textId="37D09FD4" w:rsidR="00417C0C" w:rsidRDefault="00D855D4" w:rsidP="009C79D0">
      <w:pPr>
        <w:rPr>
          <w:rFonts w:cstheme="minorHAnsi"/>
        </w:rPr>
      </w:pPr>
      <w:r>
        <w:rPr>
          <w:rFonts w:cstheme="minorHAnsi"/>
        </w:rPr>
        <w:t>An</w:t>
      </w:r>
      <w:r w:rsidR="009C79D0">
        <w:rPr>
          <w:rFonts w:cstheme="minorHAnsi"/>
        </w:rPr>
        <w:t xml:space="preserve"> exception </w:t>
      </w:r>
      <w:r>
        <w:rPr>
          <w:rFonts w:cstheme="minorHAnsi"/>
        </w:rPr>
        <w:t>is</w:t>
      </w:r>
      <w:r w:rsidR="009C79D0">
        <w:rPr>
          <w:rFonts w:cstheme="minorHAnsi"/>
        </w:rPr>
        <w:t xml:space="preserve"> Concert Band being awarded most Arts and Culture funding – </w:t>
      </w:r>
      <w:r>
        <w:rPr>
          <w:rFonts w:cstheme="minorHAnsi"/>
        </w:rPr>
        <w:t xml:space="preserve">but </w:t>
      </w:r>
      <w:r w:rsidR="009C79D0">
        <w:rPr>
          <w:rFonts w:cstheme="minorHAnsi"/>
        </w:rPr>
        <w:t>this is not extraordinary as it is mostly the music societies who make use of this fund</w:t>
      </w:r>
    </w:p>
    <w:p w14:paraId="49C0D524" w14:textId="77777777" w:rsidR="00252C87" w:rsidRDefault="00252C87" w:rsidP="00252C87">
      <w:pPr>
        <w:pStyle w:val="ListParagraph"/>
        <w:ind w:left="927"/>
        <w:rPr>
          <w:rFonts w:cstheme="minorHAnsi"/>
        </w:rPr>
      </w:pPr>
    </w:p>
    <w:p w14:paraId="4F1EAB5B" w14:textId="1A7D267B" w:rsidR="00190FE6" w:rsidRDefault="00252C87" w:rsidP="00252C8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Welcome Grants (£45)</w:t>
      </w:r>
      <w:r w:rsidR="00FF4265">
        <w:rPr>
          <w:rFonts w:cstheme="minorHAnsi"/>
        </w:rPr>
        <w:t>. Total: £</w:t>
      </w:r>
      <w:r w:rsidR="00D2065C">
        <w:rPr>
          <w:rFonts w:cstheme="minorHAnsi"/>
        </w:rPr>
        <w:t>135</w:t>
      </w:r>
    </w:p>
    <w:p w14:paraId="230F0343" w14:textId="77777777" w:rsidR="00252C87" w:rsidRPr="00252C87" w:rsidRDefault="00252C87" w:rsidP="00252C87">
      <w:pPr>
        <w:pStyle w:val="ListParagraph"/>
        <w:rPr>
          <w:rFonts w:cstheme="minorHAnsi"/>
        </w:rPr>
      </w:pPr>
    </w:p>
    <w:p w14:paraId="03926A92" w14:textId="65A2437A" w:rsidR="00252C87" w:rsidRDefault="00252C87" w:rsidP="00252C8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Strathclyde Trading Society (this should have been approved in Exec 2, but missing from minutes)</w:t>
      </w:r>
    </w:p>
    <w:p w14:paraId="0AD6A460" w14:textId="2CA7622E" w:rsidR="00FC3BFA" w:rsidRDefault="00FC3BFA" w:rsidP="00FC3BF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USEV</w:t>
      </w:r>
      <w:r w:rsidR="00640264">
        <w:rPr>
          <w:rFonts w:cstheme="minorHAnsi"/>
        </w:rPr>
        <w:t xml:space="preserve"> (should have been approved already, missing from minutes) </w:t>
      </w:r>
    </w:p>
    <w:p w14:paraId="2CE90D0D" w14:textId="40E1E4F6" w:rsidR="00FE354B" w:rsidRDefault="0076145E" w:rsidP="00E141A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Engineers with </w:t>
      </w:r>
      <w:r w:rsidR="00D2065C">
        <w:rPr>
          <w:rFonts w:cstheme="minorHAnsi"/>
        </w:rPr>
        <w:t>B</w:t>
      </w:r>
      <w:r>
        <w:rPr>
          <w:rFonts w:cstheme="minorHAnsi"/>
        </w:rPr>
        <w:t xml:space="preserve">eers </w:t>
      </w:r>
      <w:r w:rsidR="00640264">
        <w:rPr>
          <w:rFonts w:cstheme="minorHAnsi"/>
        </w:rPr>
        <w:t xml:space="preserve">(should have been approved already, missing from minutes) </w:t>
      </w:r>
    </w:p>
    <w:p w14:paraId="35199B77" w14:textId="77777777" w:rsidR="00D2065C" w:rsidRPr="00D2065C" w:rsidRDefault="00D2065C" w:rsidP="00D2065C">
      <w:pPr>
        <w:rPr>
          <w:rFonts w:cstheme="minorHAnsi"/>
        </w:rPr>
      </w:pPr>
    </w:p>
    <w:p w14:paraId="190553A8" w14:textId="4E84DBAB" w:rsidR="0075392A" w:rsidRPr="00252C87" w:rsidRDefault="00040A8F" w:rsidP="009C07B4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E141AB">
        <w:rPr>
          <w:rFonts w:cstheme="minorHAnsi"/>
          <w:color w:val="000000" w:themeColor="text1"/>
        </w:rPr>
        <w:t xml:space="preserve">Grant Requests. Total: </w:t>
      </w:r>
      <w:r w:rsidR="0075392A">
        <w:rPr>
          <w:rFonts w:cstheme="minorHAnsi"/>
        </w:rPr>
        <w:t>£</w:t>
      </w:r>
      <w:r w:rsidR="00F51EAC">
        <w:rPr>
          <w:rFonts w:cstheme="minorHAnsi"/>
        </w:rPr>
        <w:t>429.66</w:t>
      </w:r>
    </w:p>
    <w:p w14:paraId="48FB4803" w14:textId="77777777" w:rsidR="00252C87" w:rsidRPr="00252C87" w:rsidRDefault="00252C87" w:rsidP="00252C87">
      <w:pPr>
        <w:rPr>
          <w:rFonts w:cstheme="minorHAnsi"/>
          <w:color w:val="FF0000"/>
        </w:rPr>
      </w:pPr>
    </w:p>
    <w:p w14:paraId="734B434F" w14:textId="7A0A28B9" w:rsidR="000537E3" w:rsidRPr="000537E3" w:rsidRDefault="00D2065C" w:rsidP="000537E3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>Travel Society – Anne Frank House Visit</w:t>
      </w:r>
      <w:r w:rsidR="000537E3">
        <w:rPr>
          <w:rFonts w:cstheme="minorHAnsi"/>
        </w:rPr>
        <w:t xml:space="preserve"> (</w:t>
      </w:r>
      <w:r w:rsidR="00252C87">
        <w:rPr>
          <w:rFonts w:cstheme="minorHAnsi"/>
        </w:rPr>
        <w:t xml:space="preserve">Grant </w:t>
      </w:r>
      <w:r w:rsidR="000537E3">
        <w:rPr>
          <w:rFonts w:cstheme="minorHAnsi"/>
          <w:lang w:val="en-US"/>
        </w:rPr>
        <w:t>#</w:t>
      </w:r>
      <w:r>
        <w:rPr>
          <w:rFonts w:cstheme="minorHAnsi"/>
          <w:lang w:val="en-US"/>
        </w:rPr>
        <w:t>1543</w:t>
      </w:r>
      <w:r w:rsidR="000537E3">
        <w:rPr>
          <w:rFonts w:cstheme="minorHAnsi"/>
          <w:lang w:val="en-US"/>
        </w:rPr>
        <w:t>)</w:t>
      </w:r>
    </w:p>
    <w:p w14:paraId="4CAED657" w14:textId="62958A2C" w:rsidR="000537E3" w:rsidRDefault="000537E3" w:rsidP="000537E3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Requested: £</w:t>
      </w:r>
      <w:r w:rsidR="00D2065C">
        <w:rPr>
          <w:rFonts w:cstheme="minorHAnsi"/>
        </w:rPr>
        <w:t>250</w:t>
      </w:r>
      <w:r>
        <w:rPr>
          <w:rFonts w:cstheme="minorHAnsi"/>
        </w:rPr>
        <w:t xml:space="preserve"> (</w:t>
      </w:r>
      <w:r w:rsidR="000E32DD">
        <w:rPr>
          <w:rFonts w:cstheme="minorHAnsi"/>
        </w:rPr>
        <w:t>53</w:t>
      </w:r>
      <w:r>
        <w:rPr>
          <w:rFonts w:cstheme="minorHAnsi"/>
        </w:rPr>
        <w:t>%</w:t>
      </w:r>
      <w:r w:rsidR="000E32DD">
        <w:rPr>
          <w:rFonts w:cstheme="minorHAnsi"/>
        </w:rPr>
        <w:t xml:space="preserve"> - 75%</w:t>
      </w:r>
      <w:r>
        <w:rPr>
          <w:rFonts w:cstheme="minorHAnsi"/>
        </w:rPr>
        <w:t>)</w:t>
      </w:r>
    </w:p>
    <w:p w14:paraId="6FAD1173" w14:textId="06044255" w:rsidR="000537E3" w:rsidRDefault="000537E3" w:rsidP="000537E3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Expected Income: £</w:t>
      </w:r>
      <w:r w:rsidR="000E32DD">
        <w:rPr>
          <w:rFonts w:cstheme="minorHAnsi"/>
        </w:rPr>
        <w:t>83.36</w:t>
      </w:r>
    </w:p>
    <w:p w14:paraId="4AC948F7" w14:textId="64F6BCE9" w:rsidR="000537E3" w:rsidRDefault="000537E3" w:rsidP="000537E3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Total Budget: £</w:t>
      </w:r>
      <w:r w:rsidR="000E32DD">
        <w:rPr>
          <w:rFonts w:cstheme="minorHAnsi"/>
        </w:rPr>
        <w:t>333.36 - £473.44</w:t>
      </w:r>
    </w:p>
    <w:p w14:paraId="2BB0CB46" w14:textId="3C031188" w:rsidR="00D2065C" w:rsidRDefault="000537E3" w:rsidP="00D2065C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 xml:space="preserve">Members: </w:t>
      </w:r>
      <w:r w:rsidR="000E32DD">
        <w:rPr>
          <w:rFonts w:cstheme="minorHAnsi"/>
        </w:rPr>
        <w:t>363</w:t>
      </w:r>
    </w:p>
    <w:p w14:paraId="2D34F198" w14:textId="6966B504" w:rsidR="00417C0C" w:rsidRDefault="00417C0C" w:rsidP="00417C0C">
      <w:pPr>
        <w:ind w:left="720"/>
        <w:rPr>
          <w:rFonts w:cstheme="minorHAnsi"/>
        </w:rPr>
      </w:pPr>
      <w:r>
        <w:rPr>
          <w:rFonts w:cstheme="minorHAnsi"/>
        </w:rPr>
        <w:t>This is retrospective so can’t be awarded</w:t>
      </w:r>
      <w:r w:rsidR="00D855D4">
        <w:rPr>
          <w:rFonts w:cstheme="minorHAnsi"/>
        </w:rPr>
        <w:t xml:space="preserve"> – they are away right now</w:t>
      </w:r>
    </w:p>
    <w:p w14:paraId="73427734" w14:textId="100A6CAB" w:rsidR="00417C0C" w:rsidRDefault="00D855D4" w:rsidP="00417C0C">
      <w:pPr>
        <w:ind w:left="720"/>
        <w:rPr>
          <w:rFonts w:cstheme="minorHAnsi"/>
        </w:rPr>
      </w:pPr>
      <w:r>
        <w:rPr>
          <w:rFonts w:cstheme="minorHAnsi"/>
        </w:rPr>
        <w:t>Always a</w:t>
      </w:r>
      <w:r w:rsidR="00417C0C">
        <w:rPr>
          <w:rFonts w:cstheme="minorHAnsi"/>
        </w:rPr>
        <w:t>pply for the max</w:t>
      </w:r>
      <w:r>
        <w:rPr>
          <w:rFonts w:cstheme="minorHAnsi"/>
        </w:rPr>
        <w:t>imum</w:t>
      </w:r>
      <w:r w:rsidR="00417C0C">
        <w:rPr>
          <w:rFonts w:cstheme="minorHAnsi"/>
        </w:rPr>
        <w:t xml:space="preserve"> you w</w:t>
      </w:r>
      <w:r>
        <w:rPr>
          <w:rFonts w:cstheme="minorHAnsi"/>
        </w:rPr>
        <w:t>ould like</w:t>
      </w:r>
      <w:r w:rsidR="00417C0C">
        <w:rPr>
          <w:rFonts w:cstheme="minorHAnsi"/>
        </w:rPr>
        <w:t>!</w:t>
      </w:r>
      <w:r>
        <w:rPr>
          <w:rFonts w:cstheme="minorHAnsi"/>
        </w:rPr>
        <w:t xml:space="preserve"> Otherwise it’s</w:t>
      </w:r>
      <w:r w:rsidR="00417C0C">
        <w:rPr>
          <w:rFonts w:cstheme="minorHAnsi"/>
        </w:rPr>
        <w:t xml:space="preserve"> </w:t>
      </w:r>
      <w:r>
        <w:rPr>
          <w:rFonts w:cstheme="minorHAnsi"/>
        </w:rPr>
        <w:t>h</w:t>
      </w:r>
      <w:r w:rsidR="00417C0C">
        <w:rPr>
          <w:rFonts w:cstheme="minorHAnsi"/>
        </w:rPr>
        <w:t>ard to put numbers to this application</w:t>
      </w:r>
      <w:r>
        <w:rPr>
          <w:rFonts w:cstheme="minorHAnsi"/>
        </w:rPr>
        <w:t xml:space="preserve"> (hence the unusual funding ‘bracket’ presented above)</w:t>
      </w:r>
      <w:r w:rsidR="00417C0C">
        <w:rPr>
          <w:rFonts w:cstheme="minorHAnsi"/>
        </w:rPr>
        <w:t xml:space="preserve"> which</w:t>
      </w:r>
      <w:r>
        <w:rPr>
          <w:rFonts w:cstheme="minorHAnsi"/>
        </w:rPr>
        <w:t xml:space="preserve"> the</w:t>
      </w:r>
      <w:r w:rsidR="00417C0C">
        <w:rPr>
          <w:rFonts w:cstheme="minorHAnsi"/>
        </w:rPr>
        <w:t xml:space="preserve"> exec needs</w:t>
      </w:r>
      <w:r>
        <w:rPr>
          <w:rFonts w:cstheme="minorHAnsi"/>
        </w:rPr>
        <w:t xml:space="preserve"> to evaluate it</w:t>
      </w:r>
    </w:p>
    <w:p w14:paraId="20A5DA78" w14:textId="4C8CE17C" w:rsidR="00D2065C" w:rsidRDefault="00417C0C" w:rsidP="004F150B">
      <w:pPr>
        <w:ind w:left="720"/>
        <w:rPr>
          <w:rFonts w:cstheme="minorHAnsi"/>
        </w:rPr>
      </w:pPr>
      <w:r>
        <w:rPr>
          <w:rFonts w:cstheme="minorHAnsi"/>
        </w:rPr>
        <w:t xml:space="preserve">Otherwise </w:t>
      </w:r>
      <w:r w:rsidR="00D855D4">
        <w:rPr>
          <w:rFonts w:cstheme="minorHAnsi"/>
        </w:rPr>
        <w:t>this is a strong</w:t>
      </w:r>
      <w:r>
        <w:rPr>
          <w:rFonts w:cstheme="minorHAnsi"/>
        </w:rPr>
        <w:t xml:space="preserve"> application – </w:t>
      </w:r>
      <w:r w:rsidR="00D855D4">
        <w:rPr>
          <w:rFonts w:cstheme="minorHAnsi"/>
        </w:rPr>
        <w:t>exec urges society to</w:t>
      </w:r>
      <w:r>
        <w:rPr>
          <w:rFonts w:cstheme="minorHAnsi"/>
        </w:rPr>
        <w:t xml:space="preserve"> apply for</w:t>
      </w:r>
      <w:r w:rsidR="00D855D4">
        <w:rPr>
          <w:rFonts w:cstheme="minorHAnsi"/>
        </w:rPr>
        <w:t xml:space="preserve"> their</w:t>
      </w:r>
      <w:r>
        <w:rPr>
          <w:rFonts w:cstheme="minorHAnsi"/>
        </w:rPr>
        <w:t xml:space="preserve"> next trip but</w:t>
      </w:r>
      <w:r w:rsidR="00D855D4">
        <w:rPr>
          <w:rFonts w:cstheme="minorHAnsi"/>
        </w:rPr>
        <w:t xml:space="preserve"> well</w:t>
      </w:r>
      <w:r>
        <w:rPr>
          <w:rFonts w:cstheme="minorHAnsi"/>
        </w:rPr>
        <w:t xml:space="preserve"> in advance! </w:t>
      </w:r>
      <w:r w:rsidR="004F150B">
        <w:rPr>
          <w:rFonts w:cstheme="minorHAnsi"/>
        </w:rPr>
        <w:t>Do you have a</w:t>
      </w:r>
      <w:r w:rsidR="00D855D4">
        <w:rPr>
          <w:rFonts w:cstheme="minorHAnsi"/>
        </w:rPr>
        <w:t>n</w:t>
      </w:r>
      <w:r w:rsidR="004F150B">
        <w:rPr>
          <w:rFonts w:cstheme="minorHAnsi"/>
        </w:rPr>
        <w:t xml:space="preserve"> upcoming trip planned? Exec can support you to make a strong application in good time</w:t>
      </w:r>
    </w:p>
    <w:p w14:paraId="53B32E5C" w14:textId="59678AAB" w:rsidR="00D855D4" w:rsidRDefault="00D855D4" w:rsidP="004F150B">
      <w:pPr>
        <w:ind w:left="720"/>
        <w:rPr>
          <w:rFonts w:cstheme="minorHAnsi"/>
        </w:rPr>
      </w:pPr>
      <w:r>
        <w:rPr>
          <w:rFonts w:cstheme="minorHAnsi"/>
        </w:rPr>
        <w:t>Staff also note this society has not completed the mandatory finance training which would help</w:t>
      </w:r>
    </w:p>
    <w:p w14:paraId="552EBC1A" w14:textId="47E518A9" w:rsidR="00DD15CB" w:rsidRDefault="00DD15CB" w:rsidP="004F150B">
      <w:pPr>
        <w:ind w:left="720"/>
        <w:rPr>
          <w:rFonts w:cstheme="minorHAnsi"/>
        </w:rPr>
      </w:pPr>
      <w:r w:rsidRPr="00DD15CB">
        <w:rPr>
          <w:rFonts w:cstheme="minorHAnsi"/>
          <w:highlight w:val="red"/>
        </w:rPr>
        <w:t>Not approved</w:t>
      </w:r>
    </w:p>
    <w:p w14:paraId="1FB4A87A" w14:textId="77777777" w:rsidR="004F150B" w:rsidRPr="00D2065C" w:rsidRDefault="004F150B" w:rsidP="004F150B">
      <w:pPr>
        <w:ind w:left="720"/>
        <w:rPr>
          <w:rFonts w:cstheme="minorHAnsi"/>
        </w:rPr>
      </w:pPr>
    </w:p>
    <w:p w14:paraId="3AB56B72" w14:textId="63690083" w:rsidR="00D2065C" w:rsidRPr="000537E3" w:rsidRDefault="00D2065C" w:rsidP="00D2065C">
      <w:pPr>
        <w:pStyle w:val="ListParagraph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Jazz Orchestra – Sheet Music (Grant </w:t>
      </w:r>
      <w:r>
        <w:rPr>
          <w:rFonts w:cstheme="minorHAnsi"/>
          <w:lang w:val="en-US"/>
        </w:rPr>
        <w:t>#1550)</w:t>
      </w:r>
    </w:p>
    <w:p w14:paraId="5CE7CAE1" w14:textId="3709154F" w:rsidR="00D2065C" w:rsidRDefault="00D2065C" w:rsidP="00D2065C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Requested: £</w:t>
      </w:r>
      <w:r w:rsidR="000E32DD">
        <w:rPr>
          <w:rFonts w:cstheme="minorHAnsi"/>
        </w:rPr>
        <w:t>179.66</w:t>
      </w:r>
      <w:r>
        <w:rPr>
          <w:rFonts w:cstheme="minorHAnsi"/>
        </w:rPr>
        <w:t xml:space="preserve"> (</w:t>
      </w:r>
      <w:r w:rsidR="000E32DD">
        <w:rPr>
          <w:rFonts w:cstheme="minorHAnsi"/>
        </w:rPr>
        <w:t>100</w:t>
      </w:r>
      <w:r>
        <w:rPr>
          <w:rFonts w:cstheme="minorHAnsi"/>
        </w:rPr>
        <w:t>%)</w:t>
      </w:r>
    </w:p>
    <w:p w14:paraId="435F0B1B" w14:textId="31663D9E" w:rsidR="00D2065C" w:rsidRDefault="00D2065C" w:rsidP="00D2065C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Expected Income: £</w:t>
      </w:r>
      <w:r w:rsidR="000E32DD">
        <w:rPr>
          <w:rFonts w:cstheme="minorHAnsi"/>
        </w:rPr>
        <w:t>0</w:t>
      </w:r>
    </w:p>
    <w:p w14:paraId="3039DDD5" w14:textId="6F3AE17F" w:rsidR="00D2065C" w:rsidRDefault="00D2065C" w:rsidP="00D2065C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Total Budget: £</w:t>
      </w:r>
      <w:r w:rsidR="000E32DD">
        <w:rPr>
          <w:rFonts w:cstheme="minorHAnsi"/>
        </w:rPr>
        <w:t>179.66</w:t>
      </w:r>
    </w:p>
    <w:p w14:paraId="36FFF1BF" w14:textId="70B01CBF" w:rsidR="00D2065C" w:rsidRDefault="00D2065C" w:rsidP="00D2065C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 xml:space="preserve">Members: </w:t>
      </w:r>
      <w:r w:rsidR="000E32DD">
        <w:rPr>
          <w:rFonts w:cstheme="minorHAnsi"/>
        </w:rPr>
        <w:t>79</w:t>
      </w:r>
    </w:p>
    <w:p w14:paraId="56BD6415" w14:textId="3C44DF96" w:rsidR="00D2065C" w:rsidRDefault="004F150B" w:rsidP="004F150B">
      <w:pPr>
        <w:ind w:left="720"/>
        <w:rPr>
          <w:rFonts w:cstheme="minorHAnsi"/>
        </w:rPr>
      </w:pPr>
      <w:r>
        <w:rPr>
          <w:rFonts w:cstheme="minorHAnsi"/>
        </w:rPr>
        <w:t xml:space="preserve">Great job including evidence of background costs for sheet music – </w:t>
      </w:r>
      <w:r w:rsidR="001348B1">
        <w:rPr>
          <w:rFonts w:cstheme="minorHAnsi"/>
        </w:rPr>
        <w:t>exec notes society has taken on feedback from their last application and thanks them</w:t>
      </w:r>
    </w:p>
    <w:p w14:paraId="236AE255" w14:textId="06643BFE" w:rsidR="004F150B" w:rsidRDefault="001348B1" w:rsidP="004F150B">
      <w:pPr>
        <w:ind w:left="720"/>
        <w:rPr>
          <w:rFonts w:cstheme="minorHAnsi"/>
        </w:rPr>
      </w:pPr>
      <w:r>
        <w:rPr>
          <w:rFonts w:cstheme="minorHAnsi"/>
        </w:rPr>
        <w:t>KL notes that we w</w:t>
      </w:r>
      <w:r w:rsidR="004F150B">
        <w:rPr>
          <w:rFonts w:cstheme="minorHAnsi"/>
        </w:rPr>
        <w:t xml:space="preserve">ould like to see part-funding – </w:t>
      </w:r>
      <w:r>
        <w:rPr>
          <w:rFonts w:cstheme="minorHAnsi"/>
        </w:rPr>
        <w:t xml:space="preserve">ER acknowledges this is </w:t>
      </w:r>
      <w:r w:rsidR="004F150B">
        <w:rPr>
          <w:rFonts w:cstheme="minorHAnsi"/>
        </w:rPr>
        <w:t>part of a wider conv</w:t>
      </w:r>
      <w:r>
        <w:rPr>
          <w:rFonts w:cstheme="minorHAnsi"/>
        </w:rPr>
        <w:t>ersation the union needs to have with music societies about their funding needs</w:t>
      </w:r>
    </w:p>
    <w:p w14:paraId="1D6ADAEB" w14:textId="434735C2" w:rsidR="004F150B" w:rsidRPr="00D2065C" w:rsidRDefault="004F150B" w:rsidP="004F150B">
      <w:pPr>
        <w:ind w:left="720"/>
        <w:rPr>
          <w:rFonts w:cstheme="minorHAnsi"/>
        </w:rPr>
      </w:pPr>
      <w:r w:rsidRPr="00DD15CB">
        <w:rPr>
          <w:rFonts w:cstheme="minorHAnsi"/>
          <w:highlight w:val="green"/>
        </w:rPr>
        <w:t>Happy to approve</w:t>
      </w:r>
    </w:p>
    <w:p w14:paraId="33C67661" w14:textId="77777777" w:rsidR="006E2CC5" w:rsidRPr="00D84AE7" w:rsidRDefault="006E2CC5" w:rsidP="006E2CC5">
      <w:pPr>
        <w:pStyle w:val="ListParagraph"/>
        <w:ind w:left="1440"/>
        <w:rPr>
          <w:rFonts w:cstheme="minorHAnsi"/>
        </w:rPr>
      </w:pPr>
    </w:p>
    <w:p w14:paraId="797DE5B7" w14:textId="1994BA4D" w:rsidR="00765762" w:rsidRPr="00835BDE" w:rsidRDefault="00040A8F" w:rsidP="00260F62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694A26">
        <w:rPr>
          <w:rFonts w:cstheme="minorHAnsi"/>
          <w:color w:val="000000" w:themeColor="text1"/>
          <w:u w:val="single"/>
        </w:rPr>
        <w:t>AOCB</w:t>
      </w:r>
    </w:p>
    <w:p w14:paraId="1115F84F" w14:textId="067D1BF5" w:rsidR="00C614BA" w:rsidRDefault="00C614BA" w:rsidP="00C614BA">
      <w:pPr>
        <w:ind w:left="927"/>
        <w:rPr>
          <w:rFonts w:cstheme="minorHAnsi"/>
        </w:rPr>
      </w:pPr>
      <w:r>
        <w:rPr>
          <w:rFonts w:cstheme="minorHAnsi"/>
        </w:rPr>
        <w:lastRenderedPageBreak/>
        <w:t xml:space="preserve">Arts &amp; Culture – </w:t>
      </w:r>
      <w:r w:rsidR="001348B1">
        <w:rPr>
          <w:rFonts w:cstheme="minorHAnsi"/>
        </w:rPr>
        <w:t>exec notes that this university fund has not been topped up since it was set up. Staff confirm this will be requested next semester</w:t>
      </w:r>
    </w:p>
    <w:p w14:paraId="25F8875C" w14:textId="06C5470E" w:rsidR="00EA53BC" w:rsidRDefault="001348B1" w:rsidP="00C614BA">
      <w:pPr>
        <w:ind w:left="927"/>
        <w:rPr>
          <w:rFonts w:cstheme="minorHAnsi"/>
        </w:rPr>
      </w:pPr>
      <w:r>
        <w:rPr>
          <w:rFonts w:cstheme="minorHAnsi"/>
        </w:rPr>
        <w:t>Union staff are meeting this week to establish next steps in updating Arts &amp; Culture funding</w:t>
      </w:r>
    </w:p>
    <w:p w14:paraId="7D4AEAF2" w14:textId="2AC8CCD4" w:rsidR="005366C3" w:rsidRDefault="00C614BA" w:rsidP="00EA53BC">
      <w:pPr>
        <w:ind w:left="927"/>
        <w:rPr>
          <w:rFonts w:cstheme="minorHAnsi"/>
        </w:rPr>
      </w:pPr>
      <w:r>
        <w:rPr>
          <w:rFonts w:cstheme="minorHAnsi"/>
        </w:rPr>
        <w:t>KL offers help with evidence from music socs if needed</w:t>
      </w:r>
    </w:p>
    <w:p w14:paraId="6F05EACD" w14:textId="77777777" w:rsidR="00CB46E9" w:rsidRDefault="00CB46E9" w:rsidP="00EA53BC">
      <w:pPr>
        <w:ind w:left="927"/>
        <w:rPr>
          <w:rFonts w:cstheme="minorHAnsi"/>
        </w:rPr>
      </w:pPr>
    </w:p>
    <w:p w14:paraId="4DB2791E" w14:textId="38039DAC" w:rsidR="00CB46E9" w:rsidRDefault="001348B1" w:rsidP="00EA53BC">
      <w:pPr>
        <w:ind w:left="927"/>
        <w:rPr>
          <w:rFonts w:cstheme="minorHAnsi"/>
        </w:rPr>
      </w:pPr>
      <w:r>
        <w:rPr>
          <w:rFonts w:cstheme="minorHAnsi"/>
        </w:rPr>
        <w:t>JK and exec are going to make Societies FAQ podcasts next semester – JK notes points to cover:</w:t>
      </w:r>
    </w:p>
    <w:p w14:paraId="41BCBDDE" w14:textId="77777777" w:rsidR="00406D5D" w:rsidRDefault="001348B1" w:rsidP="00EA53BC">
      <w:pPr>
        <w:ind w:left="927"/>
        <w:rPr>
          <w:rFonts w:cstheme="minorHAnsi"/>
        </w:rPr>
      </w:pPr>
      <w:r>
        <w:rPr>
          <w:rFonts w:cstheme="minorHAnsi"/>
        </w:rPr>
        <w:t>- Grant guidance, including the amounts in the different pots</w:t>
      </w:r>
    </w:p>
    <w:p w14:paraId="30E08899" w14:textId="77777777" w:rsidR="00406D5D" w:rsidRDefault="00406D5D" w:rsidP="00EA53BC">
      <w:pPr>
        <w:ind w:left="927"/>
        <w:rPr>
          <w:rFonts w:cstheme="minorHAnsi"/>
        </w:rPr>
      </w:pPr>
      <w:r>
        <w:rPr>
          <w:rFonts w:cstheme="minorHAnsi"/>
        </w:rPr>
        <w:t>- Expand on</w:t>
      </w:r>
      <w:r w:rsidR="001348B1">
        <w:rPr>
          <w:rFonts w:cstheme="minorHAnsi"/>
        </w:rPr>
        <w:t xml:space="preserve"> part-funding</w:t>
      </w:r>
    </w:p>
    <w:p w14:paraId="25907FD9" w14:textId="4D4B2761" w:rsidR="00CB46E9" w:rsidRDefault="00406D5D" w:rsidP="00D023EF">
      <w:pPr>
        <w:ind w:left="927"/>
        <w:rPr>
          <w:rFonts w:cstheme="minorHAnsi"/>
        </w:rPr>
      </w:pPr>
      <w:r>
        <w:rPr>
          <w:rFonts w:cstheme="minorHAnsi"/>
        </w:rPr>
        <w:t>- Expand on why we can’t give retrospective funding and how to plan for this</w:t>
      </w:r>
    </w:p>
    <w:p w14:paraId="29A2369A" w14:textId="75F73268" w:rsidR="00CB46E9" w:rsidRDefault="00D023EF" w:rsidP="00CB46E9">
      <w:pPr>
        <w:ind w:left="927"/>
        <w:rPr>
          <w:rFonts w:cstheme="minorHAnsi"/>
        </w:rPr>
      </w:pPr>
      <w:r>
        <w:rPr>
          <w:rFonts w:cstheme="minorHAnsi"/>
        </w:rPr>
        <w:t xml:space="preserve">- </w:t>
      </w:r>
      <w:r w:rsidR="00CB46E9">
        <w:rPr>
          <w:rFonts w:cstheme="minorHAnsi"/>
        </w:rPr>
        <w:t>Committee member election – messaging about how</w:t>
      </w:r>
      <w:r>
        <w:rPr>
          <w:rFonts w:cstheme="minorHAnsi"/>
        </w:rPr>
        <w:t xml:space="preserve"> societies can rectify </w:t>
      </w:r>
      <w:proofErr w:type="spellStart"/>
      <w:r>
        <w:rPr>
          <w:rFonts w:cstheme="minorHAnsi"/>
        </w:rPr>
        <w:t>their</w:t>
      </w:r>
      <w:proofErr w:type="spellEnd"/>
      <w:r>
        <w:rPr>
          <w:rFonts w:cstheme="minorHAnsi"/>
        </w:rPr>
        <w:t xml:space="preserve"> committee process now – not wait </w:t>
      </w:r>
      <w:proofErr w:type="spellStart"/>
      <w:r>
        <w:rPr>
          <w:rFonts w:cstheme="minorHAnsi"/>
        </w:rPr>
        <w:t>til</w:t>
      </w:r>
      <w:proofErr w:type="spellEnd"/>
      <w:r>
        <w:rPr>
          <w:rFonts w:cstheme="minorHAnsi"/>
        </w:rPr>
        <w:t xml:space="preserve"> next year!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C76F6" w14:paraId="682E8A73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6CC" w14:textId="77777777" w:rsidR="009C76F6" w:rsidRDefault="009C76F6" w:rsidP="00C13404">
            <w:pPr>
              <w:pStyle w:val="ListParagraph"/>
              <w:ind w:left="92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E01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Arts and Culture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A131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General Pot</w:t>
            </w:r>
          </w:p>
        </w:tc>
      </w:tr>
      <w:tr w:rsidR="009C76F6" w14:paraId="7BBE875C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39B7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Start of year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F674" w14:textId="77777777" w:rsidR="009C76F6" w:rsidRDefault="009C76F6" w:rsidP="00C13404">
            <w:r>
              <w:t>£15,000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72DE" w14:textId="77777777" w:rsidR="009C76F6" w:rsidRDefault="009C76F6" w:rsidP="00C13404">
            <w:r>
              <w:t>£40,000</w:t>
            </w:r>
          </w:p>
        </w:tc>
      </w:tr>
      <w:tr w:rsidR="009C76F6" w14:paraId="60C5D341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D705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After Exec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BBB" w14:textId="77777777" w:rsidR="009C76F6" w:rsidRDefault="009C76F6" w:rsidP="00C13404">
            <w:r>
              <w:t>£14,410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BADF" w14:textId="77777777" w:rsidR="009C76F6" w:rsidRDefault="009C76F6" w:rsidP="00C13404">
            <w:r>
              <w:t>£38,785.26</w:t>
            </w:r>
          </w:p>
        </w:tc>
      </w:tr>
      <w:tr w:rsidR="009C76F6" w14:paraId="35620AF7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4114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After Exec 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5549" w14:textId="77777777" w:rsidR="009C76F6" w:rsidRDefault="009C76F6" w:rsidP="00C13404">
            <w:r>
              <w:t>£12,964.82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B41F" w14:textId="77777777" w:rsidR="009C76F6" w:rsidRDefault="009C76F6" w:rsidP="00C13404">
            <w:r>
              <w:t>£38,135.26</w:t>
            </w:r>
          </w:p>
        </w:tc>
      </w:tr>
      <w:tr w:rsidR="009C76F6" w14:paraId="416A0D6F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6965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After Exec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FBFE" w14:textId="77777777" w:rsidR="009C76F6" w:rsidRDefault="009C76F6" w:rsidP="00C13404">
            <w:r>
              <w:t>£10,324.82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10E0" w14:textId="77777777" w:rsidR="009C76F6" w:rsidRDefault="009C76F6" w:rsidP="00C13404">
            <w:r>
              <w:t>£36,328.79</w:t>
            </w:r>
          </w:p>
        </w:tc>
      </w:tr>
      <w:tr w:rsidR="009C76F6" w14:paraId="1E5FC125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2DAC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After Exec 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EADD" w14:textId="77777777" w:rsidR="009C76F6" w:rsidRDefault="009C76F6" w:rsidP="00C13404">
            <w:r>
              <w:t>£9780.77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EFC9" w14:textId="77777777" w:rsidR="009C76F6" w:rsidRDefault="009C76F6" w:rsidP="00C13404">
            <w:r>
              <w:t>£35,233.79</w:t>
            </w:r>
          </w:p>
        </w:tc>
      </w:tr>
      <w:tr w:rsidR="009C76F6" w14:paraId="4D36F38A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B16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After Exec 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E23F" w14:textId="77777777" w:rsidR="009C76F6" w:rsidRDefault="009C76F6" w:rsidP="00C13404">
            <w:r>
              <w:t>£9580.77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49E7" w14:textId="77777777" w:rsidR="009C76F6" w:rsidRDefault="009C76F6" w:rsidP="00C13404">
            <w:r>
              <w:t>£34,797.26</w:t>
            </w:r>
          </w:p>
        </w:tc>
      </w:tr>
      <w:tr w:rsidR="009C76F6" w14:paraId="43E33CC5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E00E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After Exec 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5AA4" w14:textId="77777777" w:rsidR="009C76F6" w:rsidRDefault="009C76F6" w:rsidP="00C13404">
            <w:r>
              <w:t>£6957.08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3273" w14:textId="77777777" w:rsidR="009C76F6" w:rsidRDefault="009C76F6" w:rsidP="00C13404">
            <w:r>
              <w:t>£30,723.79</w:t>
            </w:r>
          </w:p>
        </w:tc>
      </w:tr>
      <w:tr w:rsidR="009C76F6" w14:paraId="1256B88B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26FB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After Exec 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6E16" w14:textId="77777777" w:rsidR="009C76F6" w:rsidRDefault="009C76F6" w:rsidP="00C13404">
            <w:r>
              <w:t>£4930.68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020F" w14:textId="77777777" w:rsidR="009C76F6" w:rsidRDefault="009C76F6" w:rsidP="00C13404">
            <w:r>
              <w:t>£28,528.88</w:t>
            </w:r>
          </w:p>
        </w:tc>
      </w:tr>
      <w:tr w:rsidR="009C76F6" w14:paraId="482D3D61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DBA" w14:textId="77777777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>After Exec 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903" w14:textId="77777777" w:rsidR="009C76F6" w:rsidRDefault="009C76F6" w:rsidP="00C13404">
            <w:r>
              <w:t>£4930.68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3A9" w14:textId="77777777" w:rsidR="009C76F6" w:rsidRDefault="009C76F6" w:rsidP="00C13404">
            <w:r>
              <w:t>£27,836.10</w:t>
            </w:r>
          </w:p>
        </w:tc>
      </w:tr>
      <w:tr w:rsidR="009C76F6" w14:paraId="2A19A024" w14:textId="77777777" w:rsidTr="00C1340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AEB" w14:textId="362F6C78" w:rsidR="009C76F6" w:rsidRDefault="009C76F6" w:rsidP="00C134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After Exec 9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355" w14:textId="02CDF64B" w:rsidR="009C76F6" w:rsidRDefault="009C76F6" w:rsidP="00C13404">
            <w:r>
              <w:t>£</w:t>
            </w:r>
            <w:r w:rsidRPr="009C76F6">
              <w:t>4751.02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2ED" w14:textId="32DE71C5" w:rsidR="009C76F6" w:rsidRDefault="009C76F6" w:rsidP="00C13404">
            <w:r>
              <w:t>£</w:t>
            </w:r>
            <w:r w:rsidRPr="009C76F6">
              <w:t>27</w:t>
            </w:r>
            <w:r>
              <w:t>,</w:t>
            </w:r>
            <w:r w:rsidRPr="009C76F6">
              <w:t>691.10</w:t>
            </w:r>
          </w:p>
        </w:tc>
      </w:tr>
    </w:tbl>
    <w:p w14:paraId="0BD5F199" w14:textId="77777777" w:rsidR="00CB46E9" w:rsidRPr="00EA53BC" w:rsidRDefault="00CB46E9" w:rsidP="00EA53BC">
      <w:pPr>
        <w:ind w:left="927"/>
        <w:rPr>
          <w:rFonts w:cstheme="minorHAnsi"/>
        </w:rPr>
      </w:pPr>
    </w:p>
    <w:sectPr w:rsidR="00CB46E9" w:rsidRPr="00EA53BC" w:rsidSect="006B74C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7064" w14:textId="77777777" w:rsidR="00DE4CF5" w:rsidRDefault="00DE4CF5">
      <w:pPr>
        <w:spacing w:after="0" w:line="240" w:lineRule="auto"/>
      </w:pPr>
      <w:r>
        <w:separator/>
      </w:r>
    </w:p>
  </w:endnote>
  <w:endnote w:type="continuationSeparator" w:id="0">
    <w:p w14:paraId="7F1ED53E" w14:textId="77777777" w:rsidR="00DE4CF5" w:rsidRDefault="00DE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59A2" w14:textId="77777777" w:rsidR="00DE4CF5" w:rsidRDefault="00DE4CF5">
      <w:pPr>
        <w:spacing w:after="0" w:line="240" w:lineRule="auto"/>
      </w:pPr>
      <w:r>
        <w:separator/>
      </w:r>
    </w:p>
  </w:footnote>
  <w:footnote w:type="continuationSeparator" w:id="0">
    <w:p w14:paraId="0BB14196" w14:textId="77777777" w:rsidR="00DE4CF5" w:rsidRDefault="00DE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BFE" w14:textId="77777777" w:rsidR="001E5DA1" w:rsidRDefault="00281AC4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3D7C0EA8" wp14:editId="5B4B1467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6DF"/>
    <w:multiLevelType w:val="hybridMultilevel"/>
    <w:tmpl w:val="720E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938"/>
    <w:multiLevelType w:val="hybridMultilevel"/>
    <w:tmpl w:val="1002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82B"/>
    <w:multiLevelType w:val="hybridMultilevel"/>
    <w:tmpl w:val="FDFAFD20"/>
    <w:lvl w:ilvl="0" w:tplc="D2AC9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7BC3"/>
    <w:multiLevelType w:val="hybridMultilevel"/>
    <w:tmpl w:val="6178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11B6"/>
    <w:multiLevelType w:val="hybridMultilevel"/>
    <w:tmpl w:val="51EA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1D36"/>
    <w:multiLevelType w:val="hybridMultilevel"/>
    <w:tmpl w:val="C29A0D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F34630"/>
    <w:multiLevelType w:val="hybridMultilevel"/>
    <w:tmpl w:val="0D3ADA6A"/>
    <w:lvl w:ilvl="0" w:tplc="B08E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62A8C"/>
    <w:multiLevelType w:val="hybridMultilevel"/>
    <w:tmpl w:val="3E6294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3E747A"/>
    <w:multiLevelType w:val="hybridMultilevel"/>
    <w:tmpl w:val="839C812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0A338F8"/>
    <w:multiLevelType w:val="hybridMultilevel"/>
    <w:tmpl w:val="90AA47E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45875A1"/>
    <w:multiLevelType w:val="hybridMultilevel"/>
    <w:tmpl w:val="358C8374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A6741"/>
    <w:multiLevelType w:val="hybridMultilevel"/>
    <w:tmpl w:val="11A4FE72"/>
    <w:lvl w:ilvl="0" w:tplc="8E467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A1EA4"/>
    <w:multiLevelType w:val="hybridMultilevel"/>
    <w:tmpl w:val="5A9A596A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FF453D5"/>
    <w:multiLevelType w:val="hybridMultilevel"/>
    <w:tmpl w:val="9078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15AB6"/>
    <w:multiLevelType w:val="hybridMultilevel"/>
    <w:tmpl w:val="9A68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67C6B"/>
    <w:multiLevelType w:val="hybridMultilevel"/>
    <w:tmpl w:val="C728DD4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EFC0B39"/>
    <w:multiLevelType w:val="hybridMultilevel"/>
    <w:tmpl w:val="7610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52DBB"/>
    <w:multiLevelType w:val="hybridMultilevel"/>
    <w:tmpl w:val="37F8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A66B4"/>
    <w:multiLevelType w:val="hybridMultilevel"/>
    <w:tmpl w:val="B37660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AA46C8"/>
    <w:multiLevelType w:val="hybridMultilevel"/>
    <w:tmpl w:val="5364B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1278CB"/>
    <w:multiLevelType w:val="hybridMultilevel"/>
    <w:tmpl w:val="A00A1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67560C"/>
    <w:multiLevelType w:val="hybridMultilevel"/>
    <w:tmpl w:val="BC9A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4784">
    <w:abstractNumId w:val="10"/>
  </w:num>
  <w:num w:numId="2" w16cid:durableId="1532840728">
    <w:abstractNumId w:val="11"/>
  </w:num>
  <w:num w:numId="3" w16cid:durableId="906964259">
    <w:abstractNumId w:val="6"/>
  </w:num>
  <w:num w:numId="4" w16cid:durableId="549806692">
    <w:abstractNumId w:val="2"/>
  </w:num>
  <w:num w:numId="5" w16cid:durableId="42411002">
    <w:abstractNumId w:val="10"/>
  </w:num>
  <w:num w:numId="6" w16cid:durableId="220215296">
    <w:abstractNumId w:val="5"/>
  </w:num>
  <w:num w:numId="7" w16cid:durableId="516777414">
    <w:abstractNumId w:val="8"/>
  </w:num>
  <w:num w:numId="8" w16cid:durableId="998382594">
    <w:abstractNumId w:val="12"/>
  </w:num>
  <w:num w:numId="9" w16cid:durableId="1866286448">
    <w:abstractNumId w:val="9"/>
  </w:num>
  <w:num w:numId="10" w16cid:durableId="655690156">
    <w:abstractNumId w:val="17"/>
  </w:num>
  <w:num w:numId="11" w16cid:durableId="831800329">
    <w:abstractNumId w:val="20"/>
  </w:num>
  <w:num w:numId="12" w16cid:durableId="2033876549">
    <w:abstractNumId w:val="21"/>
  </w:num>
  <w:num w:numId="13" w16cid:durableId="1097209224">
    <w:abstractNumId w:val="13"/>
  </w:num>
  <w:num w:numId="14" w16cid:durableId="954676690">
    <w:abstractNumId w:val="3"/>
  </w:num>
  <w:num w:numId="15" w16cid:durableId="644746904">
    <w:abstractNumId w:val="1"/>
  </w:num>
  <w:num w:numId="16" w16cid:durableId="1786077688">
    <w:abstractNumId w:val="16"/>
  </w:num>
  <w:num w:numId="17" w16cid:durableId="1596398005">
    <w:abstractNumId w:val="19"/>
  </w:num>
  <w:num w:numId="18" w16cid:durableId="1779831203">
    <w:abstractNumId w:val="18"/>
  </w:num>
  <w:num w:numId="19" w16cid:durableId="1430924430">
    <w:abstractNumId w:val="0"/>
  </w:num>
  <w:num w:numId="20" w16cid:durableId="545289571">
    <w:abstractNumId w:val="14"/>
  </w:num>
  <w:num w:numId="21" w16cid:durableId="2058701016">
    <w:abstractNumId w:val="15"/>
  </w:num>
  <w:num w:numId="22" w16cid:durableId="1782801801">
    <w:abstractNumId w:val="4"/>
  </w:num>
  <w:num w:numId="23" w16cid:durableId="1288969967">
    <w:abstractNumId w:val="15"/>
  </w:num>
  <w:num w:numId="24" w16cid:durableId="1048604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F"/>
    <w:rsid w:val="00006717"/>
    <w:rsid w:val="000159BB"/>
    <w:rsid w:val="000201C8"/>
    <w:rsid w:val="000258C4"/>
    <w:rsid w:val="00027CF7"/>
    <w:rsid w:val="00040A8F"/>
    <w:rsid w:val="00045E8B"/>
    <w:rsid w:val="0004752C"/>
    <w:rsid w:val="000537E3"/>
    <w:rsid w:val="0006236B"/>
    <w:rsid w:val="000728D8"/>
    <w:rsid w:val="00076E13"/>
    <w:rsid w:val="00081134"/>
    <w:rsid w:val="000B72C5"/>
    <w:rsid w:val="000C08D6"/>
    <w:rsid w:val="000E32DD"/>
    <w:rsid w:val="000F3343"/>
    <w:rsid w:val="001111A9"/>
    <w:rsid w:val="001138D4"/>
    <w:rsid w:val="00133EDC"/>
    <w:rsid w:val="001348B1"/>
    <w:rsid w:val="00145D7C"/>
    <w:rsid w:val="0016407B"/>
    <w:rsid w:val="001650AF"/>
    <w:rsid w:val="00177A51"/>
    <w:rsid w:val="00190FE6"/>
    <w:rsid w:val="001D080B"/>
    <w:rsid w:val="001D69C0"/>
    <w:rsid w:val="001E2AB6"/>
    <w:rsid w:val="001E5DA1"/>
    <w:rsid w:val="00206308"/>
    <w:rsid w:val="00207E1B"/>
    <w:rsid w:val="002444DA"/>
    <w:rsid w:val="00252C87"/>
    <w:rsid w:val="00281AC4"/>
    <w:rsid w:val="002967CE"/>
    <w:rsid w:val="002C1336"/>
    <w:rsid w:val="002C381F"/>
    <w:rsid w:val="002D061E"/>
    <w:rsid w:val="002D734D"/>
    <w:rsid w:val="002E4F85"/>
    <w:rsid w:val="003564B0"/>
    <w:rsid w:val="00362BDA"/>
    <w:rsid w:val="00365FDD"/>
    <w:rsid w:val="00370954"/>
    <w:rsid w:val="003718C5"/>
    <w:rsid w:val="00384E54"/>
    <w:rsid w:val="003A32B0"/>
    <w:rsid w:val="003B490F"/>
    <w:rsid w:val="003D037F"/>
    <w:rsid w:val="003D0F37"/>
    <w:rsid w:val="003E24B0"/>
    <w:rsid w:val="0040172D"/>
    <w:rsid w:val="0040387D"/>
    <w:rsid w:val="00406D5D"/>
    <w:rsid w:val="00417C0C"/>
    <w:rsid w:val="00427787"/>
    <w:rsid w:val="00427A8A"/>
    <w:rsid w:val="004307E2"/>
    <w:rsid w:val="0047283A"/>
    <w:rsid w:val="00485960"/>
    <w:rsid w:val="004A0290"/>
    <w:rsid w:val="004A1BDF"/>
    <w:rsid w:val="004A458B"/>
    <w:rsid w:val="004F150B"/>
    <w:rsid w:val="00507DB6"/>
    <w:rsid w:val="00510F4C"/>
    <w:rsid w:val="005345B0"/>
    <w:rsid w:val="005366C3"/>
    <w:rsid w:val="00556B2D"/>
    <w:rsid w:val="00587C87"/>
    <w:rsid w:val="00593264"/>
    <w:rsid w:val="005A7944"/>
    <w:rsid w:val="005B1AC1"/>
    <w:rsid w:val="005B5CBF"/>
    <w:rsid w:val="005D6ED3"/>
    <w:rsid w:val="006019F4"/>
    <w:rsid w:val="00603D74"/>
    <w:rsid w:val="00611895"/>
    <w:rsid w:val="00625BCF"/>
    <w:rsid w:val="00640264"/>
    <w:rsid w:val="00645964"/>
    <w:rsid w:val="00662DCD"/>
    <w:rsid w:val="00664A47"/>
    <w:rsid w:val="00671ACD"/>
    <w:rsid w:val="00694A26"/>
    <w:rsid w:val="00696CF7"/>
    <w:rsid w:val="006B0697"/>
    <w:rsid w:val="006C3FAC"/>
    <w:rsid w:val="006C7189"/>
    <w:rsid w:val="006E2CC5"/>
    <w:rsid w:val="006E45FD"/>
    <w:rsid w:val="006E5B2E"/>
    <w:rsid w:val="006E667C"/>
    <w:rsid w:val="0073513B"/>
    <w:rsid w:val="00737C46"/>
    <w:rsid w:val="0075392A"/>
    <w:rsid w:val="0076145E"/>
    <w:rsid w:val="00765762"/>
    <w:rsid w:val="00783B87"/>
    <w:rsid w:val="00793596"/>
    <w:rsid w:val="00794B75"/>
    <w:rsid w:val="00794F51"/>
    <w:rsid w:val="007B7AC0"/>
    <w:rsid w:val="007C421E"/>
    <w:rsid w:val="007C77F7"/>
    <w:rsid w:val="007D5ACB"/>
    <w:rsid w:val="007E006F"/>
    <w:rsid w:val="007E2D4F"/>
    <w:rsid w:val="007F2C24"/>
    <w:rsid w:val="008012F5"/>
    <w:rsid w:val="008065CA"/>
    <w:rsid w:val="00835BDE"/>
    <w:rsid w:val="00840AB8"/>
    <w:rsid w:val="008678B0"/>
    <w:rsid w:val="008A4B5B"/>
    <w:rsid w:val="008C7630"/>
    <w:rsid w:val="008D1384"/>
    <w:rsid w:val="008D26CD"/>
    <w:rsid w:val="008D510D"/>
    <w:rsid w:val="009212ED"/>
    <w:rsid w:val="00927387"/>
    <w:rsid w:val="00935ADB"/>
    <w:rsid w:val="0093657B"/>
    <w:rsid w:val="009717CD"/>
    <w:rsid w:val="00986273"/>
    <w:rsid w:val="00991942"/>
    <w:rsid w:val="009C07B4"/>
    <w:rsid w:val="009C76F6"/>
    <w:rsid w:val="009C79D0"/>
    <w:rsid w:val="009D4003"/>
    <w:rsid w:val="009D4CD0"/>
    <w:rsid w:val="009D60FB"/>
    <w:rsid w:val="009E73B7"/>
    <w:rsid w:val="009F46B2"/>
    <w:rsid w:val="009F7BE7"/>
    <w:rsid w:val="00A15297"/>
    <w:rsid w:val="00A22588"/>
    <w:rsid w:val="00A279A4"/>
    <w:rsid w:val="00A53208"/>
    <w:rsid w:val="00A54BE6"/>
    <w:rsid w:val="00A95B91"/>
    <w:rsid w:val="00AD1FE1"/>
    <w:rsid w:val="00AE52BC"/>
    <w:rsid w:val="00B13C23"/>
    <w:rsid w:val="00B2636B"/>
    <w:rsid w:val="00B44A0A"/>
    <w:rsid w:val="00B652A7"/>
    <w:rsid w:val="00B73A1A"/>
    <w:rsid w:val="00B812F7"/>
    <w:rsid w:val="00B94AC2"/>
    <w:rsid w:val="00B97F8F"/>
    <w:rsid w:val="00BB5FD8"/>
    <w:rsid w:val="00BD3E80"/>
    <w:rsid w:val="00BF3119"/>
    <w:rsid w:val="00C119A3"/>
    <w:rsid w:val="00C200BB"/>
    <w:rsid w:val="00C37317"/>
    <w:rsid w:val="00C614BA"/>
    <w:rsid w:val="00C72B7A"/>
    <w:rsid w:val="00C73047"/>
    <w:rsid w:val="00C8558B"/>
    <w:rsid w:val="00C91501"/>
    <w:rsid w:val="00C97F16"/>
    <w:rsid w:val="00CA5288"/>
    <w:rsid w:val="00CA5444"/>
    <w:rsid w:val="00CB1172"/>
    <w:rsid w:val="00CB46E9"/>
    <w:rsid w:val="00CC0FA2"/>
    <w:rsid w:val="00CE2F02"/>
    <w:rsid w:val="00CE4705"/>
    <w:rsid w:val="00CF1DC0"/>
    <w:rsid w:val="00CF5678"/>
    <w:rsid w:val="00D023EF"/>
    <w:rsid w:val="00D2065C"/>
    <w:rsid w:val="00D249BB"/>
    <w:rsid w:val="00D4475D"/>
    <w:rsid w:val="00D65BD4"/>
    <w:rsid w:val="00D81E4B"/>
    <w:rsid w:val="00D84AE7"/>
    <w:rsid w:val="00D855D4"/>
    <w:rsid w:val="00D94DAE"/>
    <w:rsid w:val="00DA4EDD"/>
    <w:rsid w:val="00DD15CB"/>
    <w:rsid w:val="00DD7220"/>
    <w:rsid w:val="00DE4CF5"/>
    <w:rsid w:val="00DE66FE"/>
    <w:rsid w:val="00DE7461"/>
    <w:rsid w:val="00E141AB"/>
    <w:rsid w:val="00E17A03"/>
    <w:rsid w:val="00E24985"/>
    <w:rsid w:val="00E3650B"/>
    <w:rsid w:val="00E46352"/>
    <w:rsid w:val="00E56940"/>
    <w:rsid w:val="00E63AE7"/>
    <w:rsid w:val="00E759C5"/>
    <w:rsid w:val="00E76A1E"/>
    <w:rsid w:val="00E865B9"/>
    <w:rsid w:val="00E931BD"/>
    <w:rsid w:val="00EA3593"/>
    <w:rsid w:val="00EA53BC"/>
    <w:rsid w:val="00EB3724"/>
    <w:rsid w:val="00EF0FFF"/>
    <w:rsid w:val="00F00272"/>
    <w:rsid w:val="00F0686F"/>
    <w:rsid w:val="00F23FF5"/>
    <w:rsid w:val="00F3605C"/>
    <w:rsid w:val="00F40E95"/>
    <w:rsid w:val="00F51EAC"/>
    <w:rsid w:val="00F63EF4"/>
    <w:rsid w:val="00F7637D"/>
    <w:rsid w:val="00F849D6"/>
    <w:rsid w:val="00F90EAF"/>
    <w:rsid w:val="00FB4F71"/>
    <w:rsid w:val="00FC3BFA"/>
    <w:rsid w:val="00FD0BA7"/>
    <w:rsid w:val="00FE2A61"/>
    <w:rsid w:val="00FE354B"/>
    <w:rsid w:val="00FE4608"/>
    <w:rsid w:val="00FE4896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5495"/>
  <w15:chartTrackingRefBased/>
  <w15:docId w15:val="{893415E9-5DA8-4922-9B67-CBE3138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E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8F"/>
  </w:style>
  <w:style w:type="paragraph" w:customStyle="1" w:styleId="Default">
    <w:name w:val="Default"/>
    <w:rsid w:val="00D8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1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organisation/resources/gra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thunion.com/organisation/resources/financ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Erin Ross</cp:lastModifiedBy>
  <cp:revision>12</cp:revision>
  <dcterms:created xsi:type="dcterms:W3CDTF">2023-12-20T14:05:00Z</dcterms:created>
  <dcterms:modified xsi:type="dcterms:W3CDTF">2023-12-22T11:06:00Z</dcterms:modified>
</cp:coreProperties>
</file>